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53" w:rsidRPr="002C7783" w:rsidRDefault="00E81653" w:rsidP="00E81653">
      <w:pPr>
        <w:pStyle w:val="Title"/>
        <w:spacing w:before="0" w:after="0"/>
        <w:rPr>
          <w:rFonts w:ascii="Times New Roman" w:hAnsi="Times New Roman" w:cs="Times New Roman"/>
          <w:sz w:val="28"/>
          <w:szCs w:val="28"/>
          <w:lang w:val="pl-PL"/>
        </w:rPr>
      </w:pPr>
      <w:r w:rsidRPr="002C7783">
        <w:rPr>
          <w:rFonts w:ascii="Times New Roman" w:hAnsi="Times New Roman" w:cs="Times New Roman"/>
          <w:sz w:val="28"/>
          <w:szCs w:val="28"/>
          <w:lang w:val="pl-PL"/>
        </w:rPr>
        <w:t>THAM LUẬN</w:t>
      </w:r>
    </w:p>
    <w:p w:rsidR="00E81653" w:rsidRPr="002C7783" w:rsidRDefault="00E81653" w:rsidP="00E81653">
      <w:pPr>
        <w:pStyle w:val="Title"/>
        <w:spacing w:before="0" w:after="120"/>
        <w:rPr>
          <w:rFonts w:ascii="Times New Roman" w:hAnsi="Times New Roman" w:cs="Times New Roman"/>
          <w:sz w:val="28"/>
          <w:szCs w:val="28"/>
          <w:lang w:val="pl-PL"/>
        </w:rPr>
      </w:pPr>
      <w:r w:rsidRPr="002C7783">
        <w:rPr>
          <w:rFonts w:ascii="Times New Roman" w:hAnsi="Times New Roman" w:cs="Times New Roman"/>
          <w:sz w:val="28"/>
          <w:szCs w:val="28"/>
          <w:lang w:val="pl-PL"/>
        </w:rPr>
        <w:t>Vai trò lãnh đạo của Đảng trong việc chỉ đạo công tác củng cố, nâng cao chất lượng tín dụng bền vững</w:t>
      </w:r>
    </w:p>
    <w:p w:rsidR="00E81653" w:rsidRPr="002C7783" w:rsidRDefault="00E81653" w:rsidP="00E81653">
      <w:pPr>
        <w:pStyle w:val="Title"/>
        <w:spacing w:before="0" w:after="0"/>
        <w:jc w:val="right"/>
        <w:rPr>
          <w:rFonts w:ascii="Times New Roman" w:hAnsi="Times New Roman" w:cs="Times New Roman"/>
          <w:i/>
          <w:sz w:val="28"/>
          <w:szCs w:val="28"/>
          <w:lang w:val="pl-PL"/>
        </w:rPr>
      </w:pPr>
      <w:r w:rsidRPr="002C7783">
        <w:rPr>
          <w:rFonts w:ascii="Times New Roman" w:hAnsi="Times New Roman" w:cs="Times New Roman"/>
          <w:i/>
          <w:sz w:val="28"/>
          <w:szCs w:val="28"/>
          <w:lang w:val="pl-PL"/>
        </w:rPr>
        <w:t>Chi bộ Quản lý và xử lý nợ rủi ro</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Kính thưa: </w:t>
      </w:r>
      <w:r w:rsidRPr="002C7783">
        <w:rPr>
          <w:rFonts w:ascii="Times New Roman" w:hAnsi="Times New Roman"/>
          <w:sz w:val="28"/>
          <w:szCs w:val="28"/>
          <w:lang w:val="nl-NL"/>
        </w:rPr>
        <w:tab/>
        <w:t>- Đoàn chủ tịch</w:t>
      </w:r>
    </w:p>
    <w:p w:rsidR="00E81653" w:rsidRPr="002C7783" w:rsidRDefault="00E81653" w:rsidP="00E81653">
      <w:pPr>
        <w:widowControl/>
        <w:spacing w:after="120" w:line="240" w:lineRule="auto"/>
        <w:ind w:left="1440" w:firstLine="720"/>
        <w:rPr>
          <w:rFonts w:ascii="Times New Roman" w:hAnsi="Times New Roman"/>
          <w:sz w:val="28"/>
          <w:szCs w:val="28"/>
          <w:lang w:val="nl-NL"/>
        </w:rPr>
      </w:pPr>
      <w:r w:rsidRPr="002C7783">
        <w:rPr>
          <w:rFonts w:ascii="Times New Roman" w:hAnsi="Times New Roman"/>
          <w:sz w:val="28"/>
          <w:szCs w:val="28"/>
          <w:lang w:val="nl-NL"/>
        </w:rPr>
        <w:t>- Thưa các quý vị đại biểu khách quý!</w:t>
      </w:r>
    </w:p>
    <w:p w:rsidR="00E81653" w:rsidRPr="002C7783" w:rsidRDefault="00E81653" w:rsidP="00E81653">
      <w:pPr>
        <w:widowControl/>
        <w:spacing w:after="120" w:line="240" w:lineRule="auto"/>
        <w:ind w:left="1440" w:firstLine="720"/>
        <w:rPr>
          <w:rFonts w:ascii="Times New Roman" w:hAnsi="Times New Roman"/>
          <w:sz w:val="28"/>
          <w:szCs w:val="28"/>
          <w:lang w:val="nl-NL"/>
        </w:rPr>
      </w:pPr>
      <w:r w:rsidRPr="002C7783">
        <w:rPr>
          <w:rFonts w:ascii="Times New Roman" w:hAnsi="Times New Roman"/>
          <w:sz w:val="28"/>
          <w:szCs w:val="28"/>
          <w:lang w:val="nl-NL"/>
        </w:rPr>
        <w:t>- Thưa toàn thể Đại hội!</w:t>
      </w:r>
    </w:p>
    <w:p w:rsidR="00E81653" w:rsidRPr="002C7783" w:rsidRDefault="00E81653" w:rsidP="00E81653">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Lời đầu tiên, thay mặt tập thể cán bộ, đảng viên trong Chi bộ Quản lý và xử lý nợ rủi ro, tôi xin gửi tới các đồng chí lãnh đạo, các quý vị đại biểu khách quý và toàn thể Đại hội lời chúc tốt đẹp nhất; chúc Đại hội thành công rực rỡ. </w:t>
      </w:r>
    </w:p>
    <w:p w:rsidR="00E81653" w:rsidRPr="002C7783" w:rsidRDefault="00E81653" w:rsidP="00E81653">
      <w:pPr>
        <w:spacing w:after="120" w:line="240" w:lineRule="auto"/>
        <w:ind w:firstLine="720"/>
        <w:rPr>
          <w:rFonts w:ascii="Times New Roman" w:hAnsi="Times New Roman"/>
          <w:i/>
          <w:sz w:val="28"/>
          <w:szCs w:val="28"/>
          <w:lang w:val="da-DK"/>
        </w:rPr>
      </w:pPr>
      <w:r w:rsidRPr="002C7783">
        <w:rPr>
          <w:rFonts w:ascii="Times New Roman" w:hAnsi="Times New Roman"/>
          <w:i/>
          <w:sz w:val="28"/>
          <w:szCs w:val="28"/>
          <w:lang w:val="da-DK"/>
        </w:rPr>
        <w:t>Kính thưa toàn thể Đại hội!</w:t>
      </w:r>
    </w:p>
    <w:p w:rsidR="00E81653" w:rsidRPr="002C7783" w:rsidRDefault="00E81653" w:rsidP="00E81653">
      <w:pPr>
        <w:pStyle w:val="Title"/>
        <w:spacing w:before="0" w:after="120"/>
        <w:ind w:firstLine="720"/>
        <w:jc w:val="both"/>
        <w:rPr>
          <w:rFonts w:ascii="Times New Roman" w:hAnsi="Times New Roman" w:cs="Times New Roman"/>
          <w:b w:val="0"/>
          <w:sz w:val="28"/>
          <w:szCs w:val="28"/>
        </w:rPr>
      </w:pPr>
      <w:r w:rsidRPr="002C7783">
        <w:rPr>
          <w:rFonts w:ascii="Times New Roman" w:hAnsi="Times New Roman" w:cs="Times New Roman"/>
          <w:b w:val="0"/>
          <w:sz w:val="28"/>
          <w:szCs w:val="28"/>
          <w:shd w:val="clear" w:color="auto" w:fill="FFFFFF"/>
          <w:lang w:val="da-DK"/>
        </w:rPr>
        <w:t>Trươc hết, Chi bộ Quản lý và xử lý nợ rủi ro</w:t>
      </w:r>
      <w:r w:rsidRPr="002C7783">
        <w:rPr>
          <w:rFonts w:ascii="Times New Roman" w:hAnsi="Times New Roman" w:cs="Times New Roman"/>
          <w:b w:val="0"/>
          <w:sz w:val="28"/>
          <w:szCs w:val="28"/>
          <w:shd w:val="clear" w:color="auto" w:fill="FFFFFF"/>
        </w:rPr>
        <w:t xml:space="preserve"> nhất trí với </w:t>
      </w:r>
      <w:r w:rsidRPr="002C7783">
        <w:rPr>
          <w:rFonts w:ascii="Times New Roman" w:hAnsi="Times New Roman" w:cs="Times New Roman"/>
          <w:b w:val="0"/>
          <w:sz w:val="28"/>
          <w:szCs w:val="28"/>
          <w:shd w:val="clear" w:color="auto" w:fill="FFFFFF"/>
          <w:lang w:val="da-DK"/>
        </w:rPr>
        <w:t>B</w:t>
      </w:r>
      <w:r w:rsidRPr="002C7783">
        <w:rPr>
          <w:rFonts w:ascii="Times New Roman" w:hAnsi="Times New Roman" w:cs="Times New Roman"/>
          <w:b w:val="0"/>
          <w:sz w:val="28"/>
          <w:szCs w:val="28"/>
          <w:shd w:val="clear" w:color="auto" w:fill="FFFFFF"/>
        </w:rPr>
        <w:t>áo cáo tổng kết nhiệm kỳ 2015-20</w:t>
      </w:r>
      <w:r w:rsidRPr="002C7783">
        <w:rPr>
          <w:rFonts w:ascii="Times New Roman" w:hAnsi="Times New Roman" w:cs="Times New Roman"/>
          <w:b w:val="0"/>
          <w:sz w:val="28"/>
          <w:szCs w:val="28"/>
          <w:shd w:val="clear" w:color="auto" w:fill="FFFFFF"/>
          <w:lang w:val="da-DK"/>
        </w:rPr>
        <w:t>20</w:t>
      </w:r>
      <w:r w:rsidRPr="002C7783">
        <w:rPr>
          <w:rFonts w:ascii="Times New Roman" w:hAnsi="Times New Roman" w:cs="Times New Roman"/>
          <w:b w:val="0"/>
          <w:sz w:val="28"/>
          <w:szCs w:val="28"/>
          <w:shd w:val="clear" w:color="auto" w:fill="FFFFFF"/>
        </w:rPr>
        <w:t xml:space="preserve"> và phương hướng hoạt động của </w:t>
      </w:r>
      <w:r w:rsidRPr="002C7783">
        <w:rPr>
          <w:rFonts w:ascii="Times New Roman" w:hAnsi="Times New Roman" w:cs="Times New Roman"/>
          <w:b w:val="0"/>
          <w:sz w:val="28"/>
          <w:szCs w:val="28"/>
          <w:shd w:val="clear" w:color="auto" w:fill="FFFFFF"/>
          <w:lang w:val="da-DK"/>
        </w:rPr>
        <w:t>Đảng bộ</w:t>
      </w:r>
      <w:r w:rsidRPr="002C7783">
        <w:rPr>
          <w:rFonts w:ascii="Times New Roman" w:hAnsi="Times New Roman" w:cs="Times New Roman"/>
          <w:b w:val="0"/>
          <w:sz w:val="28"/>
          <w:szCs w:val="28"/>
          <w:shd w:val="clear" w:color="auto" w:fill="FFFFFF"/>
        </w:rPr>
        <w:t xml:space="preserve"> nhiệm kỳ 20</w:t>
      </w:r>
      <w:r w:rsidRPr="002C7783">
        <w:rPr>
          <w:rFonts w:ascii="Times New Roman" w:hAnsi="Times New Roman" w:cs="Times New Roman"/>
          <w:b w:val="0"/>
          <w:sz w:val="28"/>
          <w:szCs w:val="28"/>
          <w:shd w:val="clear" w:color="auto" w:fill="FFFFFF"/>
          <w:lang w:val="da-DK"/>
        </w:rPr>
        <w:t>20</w:t>
      </w:r>
      <w:r w:rsidRPr="002C7783">
        <w:rPr>
          <w:rFonts w:ascii="Times New Roman" w:hAnsi="Times New Roman" w:cs="Times New Roman"/>
          <w:b w:val="0"/>
          <w:sz w:val="28"/>
          <w:szCs w:val="28"/>
          <w:shd w:val="clear" w:color="auto" w:fill="FFFFFF"/>
        </w:rPr>
        <w:t xml:space="preserve"> - 202</w:t>
      </w:r>
      <w:r w:rsidRPr="002C7783">
        <w:rPr>
          <w:rFonts w:ascii="Times New Roman" w:hAnsi="Times New Roman" w:cs="Times New Roman"/>
          <w:b w:val="0"/>
          <w:sz w:val="28"/>
          <w:szCs w:val="28"/>
          <w:shd w:val="clear" w:color="auto" w:fill="FFFFFF"/>
          <w:lang w:val="da-DK"/>
        </w:rPr>
        <w:t>5</w:t>
      </w:r>
      <w:r w:rsidRPr="002C7783">
        <w:rPr>
          <w:rFonts w:ascii="Times New Roman" w:hAnsi="Times New Roman" w:cs="Times New Roman"/>
          <w:b w:val="0"/>
          <w:sz w:val="28"/>
          <w:szCs w:val="28"/>
          <w:shd w:val="clear" w:color="auto" w:fill="FFFFFF"/>
        </w:rPr>
        <w:t>. Để làm rõ thêm các kết quả đạt được trong nhiệm kỳ qua, Chi bộ Quản lý và xử lý nợ rủi ro tham luận với nội dung</w:t>
      </w:r>
      <w:r w:rsidRPr="002C7783">
        <w:rPr>
          <w:rFonts w:ascii="Times New Roman" w:hAnsi="Times New Roman" w:cs="Times New Roman"/>
          <w:b w:val="0"/>
          <w:sz w:val="28"/>
          <w:szCs w:val="28"/>
        </w:rPr>
        <w:t>“Vai trò lãnh đạo của Đảng trong việc chỉ đạo công tác củng cố, nâng cao chất lượng tín dụng bền vững”</w:t>
      </w:r>
    </w:p>
    <w:p w:rsidR="00E81653" w:rsidRPr="002C7783" w:rsidRDefault="00E81653" w:rsidP="00E81653">
      <w:pPr>
        <w:shd w:val="clear" w:color="auto" w:fill="FFFFFF"/>
        <w:spacing w:after="120" w:line="240" w:lineRule="auto"/>
        <w:ind w:firstLine="720"/>
        <w:rPr>
          <w:rFonts w:ascii="Times New Roman" w:hAnsi="Times New Roman"/>
          <w:bCs/>
          <w:sz w:val="28"/>
          <w:szCs w:val="28"/>
          <w:lang w:val="fr-FR"/>
        </w:rPr>
      </w:pPr>
      <w:r w:rsidRPr="002C7783">
        <w:rPr>
          <w:rFonts w:ascii="Times New Roman" w:hAnsi="Times New Roman"/>
          <w:sz w:val="28"/>
          <w:szCs w:val="28"/>
          <w:lang w:val="vi-VN"/>
        </w:rPr>
        <w:t>Trong nhiệm kỳ qua diễn ra nhiều sự kiện quan trọng như: Tổng kết 15 năm thực hiện tín dụng chính sách xã hội; Sơ kết 5 năm thực hiện chỉ thị số 40-CT/TW ngày 22/11/2014 của Ban Bí thư về tăng cường sự lãnh đạo của Đảng đối với tín dụng chính sách xã hội;….Với chức năng, nhiệm vụ Ban Quản lý và xử lý nợ rủi ro, Chi bộ đã b</w:t>
      </w:r>
      <w:r w:rsidRPr="002C7783">
        <w:rPr>
          <w:rFonts w:ascii="Times New Roman" w:hAnsi="Times New Roman"/>
          <w:sz w:val="28"/>
          <w:szCs w:val="28"/>
          <w:lang w:val="pt-BR"/>
        </w:rPr>
        <w:t xml:space="preserve">ám sát định hướng, nhiệm vụ chính trị của Đảng ủy </w:t>
      </w:r>
      <w:r>
        <w:rPr>
          <w:rFonts w:ascii="Times New Roman" w:hAnsi="Times New Roman"/>
          <w:sz w:val="28"/>
          <w:szCs w:val="28"/>
          <w:lang w:val="pt-BR"/>
        </w:rPr>
        <w:t>NHCSXHTW</w:t>
      </w:r>
      <w:r w:rsidRPr="002C7783">
        <w:rPr>
          <w:rFonts w:ascii="Times New Roman" w:hAnsi="Times New Roman"/>
          <w:sz w:val="28"/>
          <w:szCs w:val="28"/>
          <w:lang w:val="pt-BR"/>
        </w:rPr>
        <w:t xml:space="preserve">, mục tiêu của ngành, của HĐQT, Ban Tổng Giám đốc. Chi bộ đã </w:t>
      </w:r>
      <w:r w:rsidRPr="002C7783">
        <w:rPr>
          <w:rFonts w:ascii="Times New Roman" w:hAnsi="Times New Roman"/>
          <w:sz w:val="28"/>
          <w:szCs w:val="28"/>
          <w:lang w:val="fr-FR"/>
        </w:rPr>
        <w:t xml:space="preserve">lãnh đạo, chỉ đạo công tác Quản lý và xử lý nợ rủi ro thực hiện tốt nhiệm vụ do Đảng ủy </w:t>
      </w:r>
      <w:r>
        <w:rPr>
          <w:rFonts w:ascii="Times New Roman" w:hAnsi="Times New Roman"/>
          <w:sz w:val="28"/>
          <w:szCs w:val="28"/>
          <w:lang w:val="fr-FR"/>
        </w:rPr>
        <w:t>NHCSXHTW</w:t>
      </w:r>
      <w:r w:rsidRPr="002C7783">
        <w:rPr>
          <w:rFonts w:ascii="Times New Roman" w:hAnsi="Times New Roman"/>
          <w:sz w:val="28"/>
          <w:szCs w:val="28"/>
          <w:lang w:val="fr-FR"/>
        </w:rPr>
        <w:t xml:space="preserve">, Ban Tổng Giám đốc giao. Hàng năm, hàng tháng, xây dựng chương trình, kế hoạch tổ chức triển khai, quán triệt các Chỉ thị, Nghị quyết của các cấp ủy Đảng đến đảng viên trong Chi bộ. </w:t>
      </w:r>
    </w:p>
    <w:p w:rsidR="00E81653" w:rsidRPr="002C7783" w:rsidRDefault="00E81653" w:rsidP="00E81653">
      <w:pPr>
        <w:shd w:val="clear" w:color="auto" w:fill="FFFFFF"/>
        <w:spacing w:after="120" w:line="240" w:lineRule="auto"/>
        <w:ind w:firstLine="720"/>
        <w:rPr>
          <w:rFonts w:ascii="Times New Roman" w:hAnsi="Times New Roman"/>
          <w:bCs/>
          <w:sz w:val="28"/>
          <w:szCs w:val="28"/>
          <w:lang w:val="de-DE"/>
        </w:rPr>
      </w:pPr>
      <w:r w:rsidRPr="002C7783">
        <w:rPr>
          <w:rFonts w:ascii="Times New Roman" w:hAnsi="Times New Roman"/>
          <w:sz w:val="28"/>
          <w:szCs w:val="28"/>
          <w:lang w:val="fr-FR"/>
        </w:rPr>
        <w:t>Giữ vững vai trò lãnh đạo trong thực hiện nhiệm vụ chính trị, tập trung, đổi mới, nâng cao năng lực lãnh đạo và sức chiến đấu của tổ chức đảng</w:t>
      </w:r>
      <w:r w:rsidRPr="002C7783">
        <w:rPr>
          <w:rFonts w:ascii="Times New Roman" w:hAnsi="Times New Roman"/>
          <w:spacing w:val="-6"/>
          <w:sz w:val="28"/>
          <w:szCs w:val="28"/>
          <w:lang w:val="fr-FR"/>
        </w:rPr>
        <w:t xml:space="preserve">. Hàng tháng Chi bộ </w:t>
      </w:r>
      <w:r w:rsidRPr="002C7783">
        <w:rPr>
          <w:rFonts w:ascii="Times New Roman" w:hAnsi="Times New Roman"/>
          <w:sz w:val="28"/>
          <w:szCs w:val="28"/>
          <w:lang w:val="pt-BR"/>
        </w:rPr>
        <w:t>đã tổ chức sinh hoạt</w:t>
      </w:r>
      <w:r w:rsidRPr="002C7783">
        <w:rPr>
          <w:rFonts w:ascii="Times New Roman" w:hAnsi="Times New Roman"/>
          <w:sz w:val="28"/>
          <w:szCs w:val="28"/>
          <w:lang w:val="de-DE"/>
        </w:rPr>
        <w:t>, qua đó chi bộ đã tập trung đánh giá kết quả của tháng trước, kịp thời xử lý những tồn tại, vướng mắc trong quá trình triển khai, xây dựng kế hoạch triển khai nhiệm vụ chính trị tháng tiếp theo.</w:t>
      </w:r>
    </w:p>
    <w:p w:rsidR="00E81653" w:rsidRPr="002C7783" w:rsidRDefault="00E81653" w:rsidP="00E81653">
      <w:pPr>
        <w:shd w:val="clear" w:color="auto" w:fill="FFFFFF"/>
        <w:spacing w:after="120" w:line="240" w:lineRule="auto"/>
        <w:ind w:firstLine="720"/>
        <w:rPr>
          <w:rFonts w:ascii="Times New Roman" w:hAnsi="Times New Roman"/>
          <w:bCs/>
          <w:sz w:val="28"/>
          <w:szCs w:val="28"/>
          <w:lang w:val="de-DE"/>
        </w:rPr>
      </w:pPr>
      <w:r w:rsidRPr="002C7783">
        <w:rPr>
          <w:rFonts w:ascii="Times New Roman" w:hAnsi="Times New Roman"/>
          <w:sz w:val="28"/>
          <w:szCs w:val="28"/>
          <w:lang w:val="de-DE"/>
        </w:rPr>
        <w:t xml:space="preserve">Chi bộ đã </w:t>
      </w:r>
      <w:r w:rsidRPr="002C7783">
        <w:rPr>
          <w:rFonts w:ascii="Times New Roman" w:hAnsi="Times New Roman"/>
          <w:sz w:val="28"/>
          <w:szCs w:val="28"/>
          <w:lang w:val="nl-NL"/>
        </w:rPr>
        <w:t xml:space="preserve">nhận được sự quan tâm chỉ đạo trực tiếp của đồng chí Bí thư Đảng ủy, Thường trực Đảng ủy, Ban Thường vụ Đảng ủy </w:t>
      </w:r>
      <w:r>
        <w:rPr>
          <w:rFonts w:ascii="Times New Roman" w:hAnsi="Times New Roman"/>
          <w:sz w:val="28"/>
          <w:szCs w:val="28"/>
          <w:lang w:val="nl-NL"/>
        </w:rPr>
        <w:t>NHCSXHTW</w:t>
      </w:r>
      <w:r w:rsidRPr="002C7783">
        <w:rPr>
          <w:rFonts w:ascii="Times New Roman" w:hAnsi="Times New Roman"/>
          <w:sz w:val="28"/>
          <w:szCs w:val="28"/>
          <w:lang w:val="nl-NL"/>
        </w:rPr>
        <w:t xml:space="preserve">. Đây là yếu tố quan trọng giúp Chi bộ Quản lý và xử lý nợ rủi ro hoàn thành tốt nhiệm vụ góp phần thực hiện thắng lợi </w:t>
      </w:r>
      <w:r w:rsidRPr="002C7783">
        <w:rPr>
          <w:rFonts w:ascii="Times New Roman" w:hAnsi="Times New Roman"/>
          <w:sz w:val="28"/>
          <w:szCs w:val="28"/>
          <w:lang w:val="pt-BR"/>
        </w:rPr>
        <w:t>mục tiêu tỷ lệ nợ quá hạn dưới 3%/tổng dư nợ tại chiến lược phát triển NHCSXH giai đoạn 2011-2020, cụ thể:</w:t>
      </w:r>
      <w:r w:rsidRPr="002C7783">
        <w:rPr>
          <w:rFonts w:ascii="Times New Roman" w:hAnsi="Times New Roman"/>
          <w:sz w:val="28"/>
          <w:szCs w:val="28"/>
          <w:lang w:val="de-DE"/>
        </w:rPr>
        <w:t xml:space="preserve"> </w:t>
      </w:r>
      <w:r w:rsidRPr="002C7783">
        <w:rPr>
          <w:rFonts w:ascii="Times New Roman" w:hAnsi="Times New Roman"/>
          <w:iCs/>
          <w:spacing w:val="4"/>
          <w:sz w:val="28"/>
          <w:szCs w:val="28"/>
          <w:lang w:val="nl-NL"/>
        </w:rPr>
        <w:t>Kết quả đạt được như sau:</w:t>
      </w:r>
    </w:p>
    <w:p w:rsidR="00E81653" w:rsidRPr="002C7783" w:rsidRDefault="00E81653" w:rsidP="00E81653">
      <w:pPr>
        <w:spacing w:after="120" w:line="240" w:lineRule="auto"/>
        <w:ind w:firstLine="720"/>
        <w:rPr>
          <w:rFonts w:ascii="Times New Roman" w:hAnsi="Times New Roman"/>
          <w:b/>
          <w:bCs/>
          <w:i/>
          <w:sz w:val="28"/>
          <w:szCs w:val="28"/>
          <w:lang w:val="es-ES"/>
        </w:rPr>
      </w:pPr>
      <w:r w:rsidRPr="002C7783">
        <w:rPr>
          <w:rFonts w:ascii="Times New Roman" w:hAnsi="Times New Roman"/>
          <w:b/>
          <w:i/>
          <w:sz w:val="28"/>
          <w:szCs w:val="28"/>
          <w:lang w:val="es-ES"/>
        </w:rPr>
        <w:lastRenderedPageBreak/>
        <w:t xml:space="preserve">Về chỉ đạo, lãnh đạo chuyên môn </w:t>
      </w:r>
      <w:r w:rsidRPr="002C7783">
        <w:rPr>
          <w:rFonts w:ascii="Times New Roman" w:hAnsi="Times New Roman"/>
          <w:b/>
          <w:i/>
          <w:spacing w:val="-6"/>
          <w:sz w:val="28"/>
          <w:szCs w:val="28"/>
          <w:lang w:val="nl-NL"/>
        </w:rPr>
        <w:t>nghiên cứu, x</w:t>
      </w:r>
      <w:r w:rsidRPr="002C7783">
        <w:rPr>
          <w:rFonts w:ascii="Times New Roman" w:hAnsi="Times New Roman"/>
          <w:b/>
          <w:i/>
          <w:sz w:val="28"/>
          <w:szCs w:val="28"/>
          <w:lang w:val="de-DE"/>
        </w:rPr>
        <w:t>ây dựng, đề xuất, tham mưu ban hành cơ chế chính sách, sửa đổi, bổ sung quy trình nghiệp vụ</w:t>
      </w:r>
      <w:r w:rsidRPr="002C7783">
        <w:rPr>
          <w:rFonts w:ascii="Times New Roman" w:hAnsi="Times New Roman"/>
          <w:b/>
          <w:i/>
          <w:sz w:val="28"/>
          <w:szCs w:val="28"/>
          <w:lang w:val="es-ES"/>
        </w:rPr>
        <w:t xml:space="preserve"> công tác q</w:t>
      </w:r>
      <w:r w:rsidRPr="002C7783">
        <w:rPr>
          <w:rFonts w:ascii="Times New Roman" w:hAnsi="Times New Roman"/>
          <w:b/>
          <w:i/>
          <w:sz w:val="28"/>
          <w:szCs w:val="28"/>
          <w:lang w:val="de-DE"/>
        </w:rPr>
        <w:t>uản lý và xử lý nợ rủi ro trong hệ thống NHCSXH</w:t>
      </w:r>
      <w:r w:rsidRPr="002C7783">
        <w:rPr>
          <w:rFonts w:ascii="Times New Roman" w:hAnsi="Times New Roman"/>
          <w:b/>
          <w:i/>
          <w:sz w:val="28"/>
          <w:szCs w:val="28"/>
          <w:lang w:val="es-ES"/>
        </w:rPr>
        <w:t>.</w:t>
      </w:r>
    </w:p>
    <w:p w:rsidR="00E81653" w:rsidRPr="002C7783" w:rsidRDefault="00E81653" w:rsidP="00E81653">
      <w:pPr>
        <w:spacing w:after="120" w:line="240" w:lineRule="auto"/>
        <w:ind w:firstLine="720"/>
        <w:rPr>
          <w:rFonts w:ascii="Times New Roman" w:hAnsi="Times New Roman"/>
          <w:sz w:val="28"/>
          <w:szCs w:val="28"/>
          <w:lang w:val="vi-VN"/>
        </w:rPr>
      </w:pPr>
      <w:r w:rsidRPr="002C7783">
        <w:rPr>
          <w:rFonts w:ascii="Times New Roman" w:eastAsia="Arial" w:hAnsi="Times New Roman"/>
          <w:sz w:val="28"/>
          <w:szCs w:val="28"/>
          <w:lang w:val="nl-NL"/>
        </w:rPr>
        <w:t xml:space="preserve">- </w:t>
      </w:r>
      <w:r w:rsidRPr="002C7783">
        <w:rPr>
          <w:rFonts w:ascii="Times New Roman" w:hAnsi="Times New Roman"/>
          <w:spacing w:val="-4"/>
          <w:sz w:val="28"/>
          <w:szCs w:val="28"/>
          <w:lang w:val="nl-NL"/>
        </w:rPr>
        <w:t>Xây dựng Phương án tiêu chí phân loại nợ trong hệ thống NHCSXH t</w:t>
      </w:r>
      <w:r w:rsidRPr="002C7783">
        <w:rPr>
          <w:rFonts w:ascii="Times New Roman" w:hAnsi="Times New Roman"/>
          <w:spacing w:val="-4"/>
          <w:sz w:val="28"/>
          <w:szCs w:val="28"/>
          <w:lang w:val="es-ES"/>
        </w:rPr>
        <w:t xml:space="preserve">rình Thủ tướng Chính phủ và đã </w:t>
      </w:r>
      <w:r w:rsidRPr="002C7783">
        <w:rPr>
          <w:rFonts w:ascii="Times New Roman" w:hAnsi="Times New Roman"/>
          <w:spacing w:val="-4"/>
          <w:sz w:val="28"/>
          <w:szCs w:val="28"/>
          <w:lang w:val="nl-NL"/>
        </w:rPr>
        <w:t xml:space="preserve">được Thủ tướng Chính phủ </w:t>
      </w:r>
      <w:r w:rsidRPr="002C7783">
        <w:rPr>
          <w:rFonts w:ascii="Times New Roman" w:hAnsi="Times New Roman"/>
          <w:spacing w:val="-4"/>
          <w:sz w:val="28"/>
          <w:szCs w:val="28"/>
          <w:lang w:val="es-ES"/>
        </w:rPr>
        <w:t>phê duyệt tại Quyết định số 976/QĐ-TTg ngày 01/7/2015 về việc ban hành Quy chế phân loại nợ tại NHCSXH. Căn cứ Quyết định số 976/QĐ-TTg,</w:t>
      </w:r>
      <w:r w:rsidRPr="002C7783">
        <w:rPr>
          <w:rFonts w:ascii="Times New Roman" w:hAnsi="Times New Roman"/>
          <w:spacing w:val="-4"/>
          <w:sz w:val="28"/>
          <w:szCs w:val="28"/>
          <w:lang w:val="vi-VN"/>
        </w:rPr>
        <w:t xml:space="preserve"> Chi bộ đã chỉ đạo chuyên môn tham mưu</w:t>
      </w:r>
      <w:r w:rsidRPr="002C7783">
        <w:rPr>
          <w:rFonts w:ascii="Times New Roman" w:hAnsi="Times New Roman"/>
          <w:spacing w:val="-4"/>
          <w:sz w:val="28"/>
          <w:szCs w:val="28"/>
          <w:lang w:val="es-ES"/>
        </w:rPr>
        <w:t xml:space="preserve"> Tổng Giám đốc ban hành văn bản số 4363/NHCS-QLN ngày 30/12/2015 hướng dẫn các chi nhánh NHCSXH tỉnh, thành phố triển khai, thực hiện quy chế phân loại nợ tại NHCSXH</w:t>
      </w:r>
      <w:r w:rsidRPr="002C7783">
        <w:rPr>
          <w:rFonts w:ascii="Times New Roman" w:hAnsi="Times New Roman"/>
          <w:sz w:val="28"/>
          <w:szCs w:val="28"/>
          <w:lang w:val="es-ES"/>
        </w:rPr>
        <w:t xml:space="preserve"> theo Quyết định số 976/QĐ-TTg.</w:t>
      </w:r>
    </w:p>
    <w:p w:rsidR="00E81653" w:rsidRPr="002C7783" w:rsidRDefault="00E81653" w:rsidP="00E81653">
      <w:pPr>
        <w:spacing w:after="120" w:line="240" w:lineRule="auto"/>
        <w:ind w:firstLine="720"/>
        <w:rPr>
          <w:rFonts w:ascii="Times New Roman" w:hAnsi="Times New Roman"/>
          <w:spacing w:val="-4"/>
          <w:sz w:val="28"/>
          <w:szCs w:val="28"/>
          <w:lang w:val="vi-VN"/>
        </w:rPr>
      </w:pPr>
      <w:r w:rsidRPr="002C7783">
        <w:rPr>
          <w:rFonts w:ascii="Times New Roman" w:hAnsi="Times New Roman"/>
          <w:spacing w:val="-10"/>
          <w:sz w:val="28"/>
          <w:szCs w:val="28"/>
          <w:lang w:val="vi-VN"/>
        </w:rPr>
        <w:t xml:space="preserve">Thực hiện Khoản 10, Điều 6 </w:t>
      </w:r>
      <w:r w:rsidRPr="002C7783">
        <w:rPr>
          <w:rFonts w:ascii="Times New Roman" w:hAnsi="Times New Roman"/>
          <w:spacing w:val="-4"/>
          <w:sz w:val="28"/>
          <w:szCs w:val="28"/>
          <w:lang w:val="vi-VN"/>
        </w:rPr>
        <w:t xml:space="preserve">Quyết định số 976/QĐ-TTg ngày 01/7/2015 của Thủ tướng Chính phủ về việc ban hành Quy chế phân loại nợ tại NHCSXH, Chi bộ đã chỉ đạo chuyên môn chủ đông tham mưu Tổng Giám đốc ban hành các văn bản số 2844/NHCS-QLN ngày 13/8/2015 và văn bản số 3124/NHCS-QLN ngày 13/7/2018 về việc đối chiếu, phân loại nợ của khách hàng. </w:t>
      </w:r>
    </w:p>
    <w:p w:rsidR="00E81653" w:rsidRPr="002C7783" w:rsidRDefault="00E81653" w:rsidP="00E81653">
      <w:pPr>
        <w:spacing w:after="120" w:line="240" w:lineRule="auto"/>
        <w:ind w:firstLine="720"/>
        <w:rPr>
          <w:rFonts w:ascii="Times New Roman" w:hAnsi="Times New Roman"/>
          <w:spacing w:val="-2"/>
          <w:sz w:val="28"/>
          <w:szCs w:val="28"/>
          <w:lang w:val="pt-BR"/>
        </w:rPr>
      </w:pPr>
      <w:r w:rsidRPr="002C7783">
        <w:rPr>
          <w:rFonts w:ascii="Times New Roman" w:eastAsia="Arial" w:hAnsi="Times New Roman"/>
          <w:sz w:val="28"/>
          <w:szCs w:val="28"/>
          <w:lang w:val="nl-NL"/>
        </w:rPr>
        <w:t xml:space="preserve">- Chi bộ đã chỉ đạo chuyên môn phối hợp với </w:t>
      </w:r>
      <w:r w:rsidRPr="002C7783">
        <w:rPr>
          <w:rFonts w:ascii="Times New Roman" w:hAnsi="Times New Roman"/>
          <w:spacing w:val="-2"/>
          <w:sz w:val="28"/>
          <w:szCs w:val="28"/>
          <w:lang w:val="pt-BR"/>
        </w:rPr>
        <w:t xml:space="preserve">các Bộ, ngành trình Thủ tướng Chính phủ tăng mức trích dự phòng rủi ro tín dụng từ 0,02% tính trên dư nợ bình quân năm được thay thế bằng mức trích Quỹ dự phòng chung là 0,75% tính trên số dư nợ cho vay không bao gồm nợ quá hạn, nợ khoanh tại thời điểm trích lập dự phòng theo Quyết định số 30/QĐ-TTg ngày 31/7/2015 của Thủ tướng Chính phủ về việc sửa đổi, bổ sung một số điều của Quy chế tài chính đối với NHCSXH. </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Đã chỉ đạo, lãnh đạo chuyên môn tổ chức thành công tổng kết đánh giá tình hình thực hiện Quyết định số 50/2010/QĐ-TTg ngày 28/7/2010 của Thủ tướng Chính phủ về việc ban hành Quy chế xử lý nợ bị rủi ro tại NHCSXH. </w:t>
      </w:r>
    </w:p>
    <w:p w:rsidR="00E81653" w:rsidRPr="002C7783" w:rsidRDefault="00E81653" w:rsidP="00E81653">
      <w:pPr>
        <w:spacing w:after="120" w:line="240" w:lineRule="auto"/>
        <w:ind w:firstLine="720"/>
        <w:rPr>
          <w:rFonts w:ascii="Times New Roman" w:hAnsi="Times New Roman"/>
          <w:spacing w:val="-2"/>
          <w:sz w:val="28"/>
          <w:szCs w:val="28"/>
          <w:lang w:val="pt-BR"/>
        </w:rPr>
      </w:pPr>
      <w:r w:rsidRPr="002C7783">
        <w:rPr>
          <w:rFonts w:ascii="Times New Roman" w:hAnsi="Times New Roman"/>
          <w:sz w:val="28"/>
          <w:szCs w:val="28"/>
          <w:lang w:val="pt-BR"/>
        </w:rPr>
        <w:t xml:space="preserve">- </w:t>
      </w:r>
      <w:r w:rsidRPr="002C7783">
        <w:rPr>
          <w:rFonts w:ascii="Times New Roman" w:hAnsi="Times New Roman"/>
          <w:spacing w:val="-2"/>
          <w:sz w:val="28"/>
          <w:szCs w:val="28"/>
          <w:lang w:val="pt-BR"/>
        </w:rPr>
        <w:t xml:space="preserve">Căn cứ những </w:t>
      </w:r>
      <w:r w:rsidRPr="002C7783">
        <w:rPr>
          <w:rFonts w:ascii="Times New Roman" w:hAnsi="Times New Roman"/>
          <w:sz w:val="28"/>
          <w:szCs w:val="28"/>
          <w:lang w:val="pt-BR"/>
        </w:rPr>
        <w:t>khó khăn, vướng mắc từ trong quá trình thực hiện Quyết định số 50/2010/QĐ-TTg,</w:t>
      </w:r>
      <w:r w:rsidRPr="002C7783">
        <w:rPr>
          <w:rFonts w:ascii="Times New Roman" w:hAnsi="Times New Roman"/>
          <w:spacing w:val="-2"/>
          <w:sz w:val="28"/>
          <w:szCs w:val="28"/>
          <w:lang w:val="pt-BR"/>
        </w:rPr>
        <w:t>Chi bộ đã chỉ đạo chuyên môn phối hợp với Văn phòng Chính phủ, Bộ Tài chính, Ngân hàng Nhà nước và các bộ, ngành đề xuất trình Thủ tướng Chính phủ sửa đổi, bổ sung quy chế xử lý nợ bị rủi ro tại NHCSXH ban hành kèm theo Quyết định số 50/2010/QĐ-TTg của Thủ tướng Chính phủ.</w:t>
      </w:r>
    </w:p>
    <w:p w:rsidR="00E81653" w:rsidRPr="002C7783" w:rsidRDefault="00E81653" w:rsidP="00E81653">
      <w:pPr>
        <w:spacing w:after="120" w:line="240" w:lineRule="auto"/>
        <w:ind w:firstLine="720"/>
        <w:rPr>
          <w:rFonts w:ascii="Times New Roman" w:hAnsi="Times New Roman"/>
          <w:b/>
          <w:i/>
          <w:sz w:val="28"/>
          <w:szCs w:val="28"/>
          <w:lang w:val="pt-BR"/>
        </w:rPr>
      </w:pPr>
      <w:r w:rsidRPr="002C7783">
        <w:rPr>
          <w:rFonts w:ascii="Times New Roman" w:hAnsi="Times New Roman"/>
          <w:b/>
          <w:i/>
          <w:sz w:val="28"/>
          <w:szCs w:val="28"/>
          <w:lang w:val="pt-BR"/>
        </w:rPr>
        <w:t>Về chỉ đạo, lãnh đạo chuyên môn thực hiện tốt công tác Quản lý nợ</w:t>
      </w:r>
    </w:p>
    <w:p w:rsidR="00E81653" w:rsidRPr="002C7783" w:rsidRDefault="00E81653" w:rsidP="00E81653">
      <w:pPr>
        <w:spacing w:after="120" w:line="240" w:lineRule="auto"/>
        <w:ind w:firstLine="720"/>
        <w:rPr>
          <w:rFonts w:ascii="Times New Roman" w:hAnsi="Times New Roman"/>
          <w:bCs/>
          <w:sz w:val="28"/>
          <w:szCs w:val="28"/>
          <w:lang w:val="pt-BR"/>
        </w:rPr>
      </w:pPr>
      <w:r w:rsidRPr="002C7783">
        <w:rPr>
          <w:rFonts w:ascii="Times New Roman" w:hAnsi="Times New Roman"/>
          <w:sz w:val="28"/>
          <w:szCs w:val="28"/>
          <w:lang w:val="pt-BR"/>
        </w:rPr>
        <w:t xml:space="preserve">- Chỉ đạo chuyên môn thực hiện phân tích số liệu nợ quá hạn và nợ khoanh của các chi nhánh theo định kỳ 5 ngày/lần, đánh giá tổng quan về chất lượng tín dụng thông qua chỉ tiêu nợ quá hạn và nợ khoanh </w:t>
      </w:r>
      <w:r w:rsidRPr="002C7783">
        <w:rPr>
          <w:rFonts w:ascii="Times New Roman" w:hAnsi="Times New Roman"/>
          <w:sz w:val="28"/>
          <w:szCs w:val="28"/>
          <w:lang w:val="nl-NL"/>
        </w:rPr>
        <w:t>và phân tích nguyên nhân tăng, giảm dư nợ quá hạn của các chi nhánh để kịp thời đưa ra các giải pháp chỉ đạo kịp thời nhằm hạn chế nợ quá hạn phát sinh.</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Thực hiện phân tích, đánh giá các món nợ bị rủi ro sau khi hết thời gian khoanh nợ đối với từng khoản vay, từ đó có giải pháp xử lý nợ đối với từng trường </w:t>
      </w:r>
      <w:r w:rsidRPr="002C7783">
        <w:rPr>
          <w:rFonts w:ascii="Times New Roman" w:hAnsi="Times New Roman"/>
          <w:sz w:val="28"/>
          <w:szCs w:val="28"/>
          <w:lang w:val="pt-BR"/>
        </w:rPr>
        <w:lastRenderedPageBreak/>
        <w:t>hợp, nhóm nguyên nhân cụ thể.</w:t>
      </w:r>
    </w:p>
    <w:p w:rsidR="00E81653" w:rsidRPr="002C7783" w:rsidRDefault="00E81653" w:rsidP="00E81653">
      <w:pPr>
        <w:spacing w:after="120" w:line="240" w:lineRule="auto"/>
        <w:ind w:firstLine="720"/>
        <w:rPr>
          <w:rFonts w:ascii="Times New Roman" w:hAnsi="Times New Roman"/>
          <w:spacing w:val="-10"/>
          <w:sz w:val="28"/>
          <w:szCs w:val="28"/>
          <w:lang w:val="pt-BR"/>
        </w:rPr>
      </w:pPr>
      <w:r w:rsidRPr="002C7783">
        <w:rPr>
          <w:rFonts w:ascii="Times New Roman" w:hAnsi="Times New Roman"/>
          <w:spacing w:val="-10"/>
          <w:sz w:val="28"/>
          <w:szCs w:val="28"/>
          <w:lang w:val="vi-VN"/>
        </w:rPr>
        <w:t>- Chỉ đạo các chi nhánh trong toàn quốc t</w:t>
      </w:r>
      <w:r w:rsidRPr="002C7783">
        <w:rPr>
          <w:rFonts w:ascii="Times New Roman" w:hAnsi="Times New Roman"/>
          <w:spacing w:val="-10"/>
          <w:sz w:val="28"/>
          <w:szCs w:val="28"/>
          <w:lang w:val="pt-BR"/>
        </w:rPr>
        <w:t xml:space="preserve">hực hiện việc phân loại nợ trong hệ thống theo quy định tại </w:t>
      </w:r>
      <w:r w:rsidRPr="002C7783">
        <w:rPr>
          <w:rFonts w:ascii="Times New Roman" w:hAnsi="Times New Roman"/>
          <w:spacing w:val="-4"/>
          <w:sz w:val="28"/>
          <w:szCs w:val="28"/>
          <w:lang w:val="pt-BR"/>
        </w:rPr>
        <w:t xml:space="preserve">Quyết định số 976/QĐ-TTg của Thủ tướng Chính phủ và hướng dẫn tại văn bản số 4363/NHCS-QLN của Tổng Giám đốc </w:t>
      </w:r>
      <w:r w:rsidRPr="002C7783">
        <w:rPr>
          <w:rFonts w:ascii="Times New Roman" w:hAnsi="Times New Roman"/>
          <w:spacing w:val="-4"/>
          <w:sz w:val="28"/>
          <w:szCs w:val="28"/>
          <w:lang w:val="vi-VN"/>
        </w:rPr>
        <w:t xml:space="preserve">NHCSXH </w:t>
      </w:r>
      <w:r w:rsidRPr="002C7783">
        <w:rPr>
          <w:rFonts w:ascii="Times New Roman" w:hAnsi="Times New Roman"/>
          <w:spacing w:val="-4"/>
          <w:sz w:val="28"/>
          <w:szCs w:val="28"/>
          <w:lang w:val="pt-BR"/>
        </w:rPr>
        <w:t xml:space="preserve">về việc hướng dẫn thực hiện quy chế phân loại nợ tại NHCSXH. </w:t>
      </w:r>
      <w:r w:rsidRPr="002C7783">
        <w:rPr>
          <w:rFonts w:ascii="Times New Roman" w:hAnsi="Times New Roman"/>
          <w:spacing w:val="-10"/>
          <w:sz w:val="28"/>
          <w:szCs w:val="28"/>
          <w:lang w:val="pt-BR"/>
        </w:rPr>
        <w:t>Căn cứ kết quả đối chiếu, phân loại nợ, NHCSXH đã đưa ra các giải pháp cụ thể xem xét xử lý cho khách hàng đối với từng nhóm nguyên nhân, từng khoản vay.</w:t>
      </w:r>
    </w:p>
    <w:p w:rsidR="00E81653" w:rsidRPr="002C7783" w:rsidRDefault="00E81653" w:rsidP="00E81653">
      <w:pPr>
        <w:spacing w:after="120" w:line="240" w:lineRule="auto"/>
        <w:ind w:firstLine="720"/>
        <w:rPr>
          <w:rFonts w:ascii="Times New Roman" w:hAnsi="Times New Roman"/>
          <w:sz w:val="28"/>
          <w:szCs w:val="28"/>
          <w:lang w:val="es-ES"/>
        </w:rPr>
      </w:pPr>
      <w:r w:rsidRPr="002C7783">
        <w:rPr>
          <w:rFonts w:ascii="Times New Roman" w:hAnsi="Times New Roman"/>
          <w:sz w:val="28"/>
          <w:szCs w:val="28"/>
          <w:lang w:val="nl-NL"/>
        </w:rPr>
        <w:t xml:space="preserve">- </w:t>
      </w:r>
      <w:r w:rsidRPr="002C7783">
        <w:rPr>
          <w:rFonts w:ascii="Times New Roman" w:hAnsi="Times New Roman"/>
          <w:sz w:val="28"/>
          <w:szCs w:val="28"/>
          <w:lang w:val="es-ES"/>
        </w:rPr>
        <w:t xml:space="preserve">Chi đạo các chi nhánh NHCSXH tỉnh, thành phố thực hiện nghiêm túc hướng dẫn của Tổng Giám đốc về theo dõi, quản lý hộ vay vốn bỏ đi khỏi nơi cư trú và thực hiện báo cáo kết quả công tác này theo định kỳ hàng quý đầy đủ, đúng thời hạn quy định. </w:t>
      </w:r>
    </w:p>
    <w:p w:rsidR="00E81653" w:rsidRPr="002C7783" w:rsidRDefault="00E81653" w:rsidP="00E81653">
      <w:pPr>
        <w:spacing w:after="120" w:line="240" w:lineRule="auto"/>
        <w:ind w:firstLine="720"/>
        <w:rPr>
          <w:rFonts w:ascii="Times New Roman" w:eastAsia="Arial" w:hAnsi="Times New Roman"/>
          <w:bCs/>
          <w:sz w:val="28"/>
          <w:szCs w:val="28"/>
          <w:lang w:val="nl-NL"/>
        </w:rPr>
      </w:pPr>
      <w:r w:rsidRPr="002C7783">
        <w:rPr>
          <w:rFonts w:ascii="Times New Roman" w:eastAsia="Arial" w:hAnsi="Times New Roman"/>
          <w:sz w:val="28"/>
          <w:szCs w:val="28"/>
          <w:lang w:val="nl-NL"/>
        </w:rPr>
        <w:t xml:space="preserve">- Chỉ đạo chuyên môn </w:t>
      </w:r>
      <w:r w:rsidRPr="002C7783">
        <w:rPr>
          <w:rFonts w:ascii="Times New Roman" w:hAnsi="Times New Roman"/>
          <w:sz w:val="28"/>
          <w:szCs w:val="28"/>
          <w:lang w:val="nl-NL"/>
        </w:rPr>
        <w:t>theo dõi, nắm bắt tình hình thiên tai xảy ra tại các địa phương, kịp thời tham mưu Tổng Giám đốc ban hành các văn bản hướng dẫn và công điện chỉ đạo các đơn vị phối hợp với tổ chức, cá nhân có liên quan tổng hợp và thiết lập hồ sơ đề nghị xử lý rủi ro đối với khách hàng bị thiệt hại làm ảnh hưởng đối tượng đầu tư do thiên tai, bão lũ, xâm ngập mặn,... trình cấp có thẩm quyền phê duyệt.</w:t>
      </w:r>
    </w:p>
    <w:p w:rsidR="00E81653" w:rsidRPr="002C7783" w:rsidRDefault="00E81653" w:rsidP="00E81653">
      <w:pPr>
        <w:spacing w:after="120" w:line="240" w:lineRule="auto"/>
        <w:ind w:firstLine="720"/>
        <w:rPr>
          <w:rFonts w:ascii="Times New Roman Bold" w:hAnsi="Times New Roman Bold"/>
          <w:b/>
          <w:bCs/>
          <w:i/>
          <w:spacing w:val="-8"/>
          <w:sz w:val="28"/>
          <w:szCs w:val="28"/>
          <w:lang w:val="pt-BR"/>
        </w:rPr>
      </w:pPr>
      <w:r w:rsidRPr="002C7783">
        <w:rPr>
          <w:rFonts w:ascii="Times New Roman Bold" w:hAnsi="Times New Roman Bold"/>
          <w:b/>
          <w:i/>
          <w:spacing w:val="-8"/>
          <w:sz w:val="28"/>
          <w:szCs w:val="28"/>
          <w:lang w:val="pt-BR"/>
        </w:rPr>
        <w:t>Chi bộ đã chỉ đạo, lãnh đạo chuyên môn thực hiện kịp thời công tác Xử lý nợ</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eastAsia="Arial" w:hAnsi="Times New Roman"/>
          <w:sz w:val="28"/>
          <w:szCs w:val="28"/>
          <w:lang w:val="nl-NL"/>
        </w:rPr>
        <w:t xml:space="preserve">- Chỉ đạo chuyên môn thực hiện tốt nhiệm vụ tham gia </w:t>
      </w:r>
      <w:r w:rsidRPr="002C7783">
        <w:rPr>
          <w:rFonts w:ascii="Times New Roman" w:hAnsi="Times New Roman"/>
          <w:sz w:val="28"/>
          <w:szCs w:val="28"/>
          <w:lang w:val="nl-NL"/>
        </w:rPr>
        <w:t>Ban Chỉ đạo củng cố nâng cao chất lượng hoạt động, chất lượng tín dụng tại chi nhánh NHCSXH tỉnh theo Quyết định số 3343/QĐ-NHCS ngày 26/7/2018 của Tổng Giám đốc về việc thành lập Ban Chỉ đạo củng cố nâng cao chất lượng hoạt động, chất lượng tín dụng tại chi nhánh NHCSXH tỉnh.</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 Để kịp thời giúp cho hộ nghèo và các đối tượng chính sách khi </w:t>
      </w:r>
      <w:r w:rsidRPr="002C7783">
        <w:rPr>
          <w:rFonts w:ascii="Times New Roman" w:hAnsi="Times New Roman"/>
          <w:spacing w:val="-2"/>
          <w:sz w:val="28"/>
          <w:szCs w:val="28"/>
          <w:lang w:val="pt-BR"/>
        </w:rPr>
        <w:t>bị rủi ro do nguyên nhân khách quan, thực hiện Quyết định số 50/2010/QĐ-TTg</w:t>
      </w:r>
      <w:r w:rsidRPr="002C7783">
        <w:rPr>
          <w:rFonts w:ascii="Times New Roman" w:hAnsi="Times New Roman"/>
          <w:spacing w:val="-4"/>
          <w:sz w:val="28"/>
          <w:szCs w:val="28"/>
          <w:lang w:val="pt-BR"/>
        </w:rPr>
        <w:t xml:space="preserve"> bằng các biện pháp gia hạn nợ, khoanh nợ, xóa nợ phù hợp với từng mức độ bị rủi ro giúp </w:t>
      </w:r>
      <w:r w:rsidRPr="002C7783">
        <w:rPr>
          <w:rFonts w:ascii="Times New Roman" w:hAnsi="Times New Roman"/>
          <w:sz w:val="28"/>
          <w:szCs w:val="28"/>
          <w:lang w:val="nl-NL"/>
        </w:rPr>
        <w:t xml:space="preserve">hộ nghèo và các đối tượng chính sách </w:t>
      </w:r>
      <w:r w:rsidRPr="002C7783">
        <w:rPr>
          <w:rFonts w:ascii="Times New Roman" w:hAnsi="Times New Roman"/>
          <w:spacing w:val="-4"/>
          <w:sz w:val="28"/>
          <w:szCs w:val="28"/>
          <w:lang w:val="pt-BR"/>
        </w:rPr>
        <w:t>sớm khôi phục sản xuất kinh doanh, ổn định cuộc sống, nâng cao thu nhập</w:t>
      </w:r>
      <w:r w:rsidRPr="002C7783">
        <w:rPr>
          <w:rFonts w:ascii="Times New Roman" w:hAnsi="Times New Roman"/>
          <w:sz w:val="28"/>
          <w:szCs w:val="28"/>
          <w:lang w:val="nl-NL"/>
        </w:rPr>
        <w:t xml:space="preserve">. Từ năm 2015 đến nay, Chi bộ đã chỉ đạo, lãnh đạo chuyên môn hoàn thành việc kiểm tra, tổng hợp hồ sơ đề nghị xử lý rủi ro của các chi nhánh, thực hiện việc kiểm tra thực tế công tác xử lý nợ rủi ro và trình Chủ tịch HĐQT quyết định phê duyệt xử lý nợ rủi ro cho 315.758món vay, số tiền 3.652.260 triệu đồng (gốc 3.203.363triệu đồng; lãi 448.897 triệu đồng). Trong đó: </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Gia hạn cho 94.027 món vay, số tiền 907.194 triệu đồng;</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Khoanh nợ cho 107.632 món vay, số tiền 1.531.538 triệu đồng (gốc 1.312.936 triệu đồng, lãi 218.602 triệu đồng);</w:t>
      </w:r>
    </w:p>
    <w:p w:rsidR="00E81653" w:rsidRPr="002C7783" w:rsidRDefault="00E81653" w:rsidP="00E81653">
      <w:pPr>
        <w:tabs>
          <w:tab w:val="left" w:pos="2227"/>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 Xóa nợ cho 114.099 món vay, số tiền 1.213.528 triệu đồng (gốc 983.232 </w:t>
      </w:r>
      <w:r w:rsidRPr="002C7783">
        <w:rPr>
          <w:rFonts w:ascii="Times New Roman" w:hAnsi="Times New Roman"/>
          <w:sz w:val="28"/>
          <w:szCs w:val="28"/>
          <w:lang w:val="nl-NL"/>
        </w:rPr>
        <w:lastRenderedPageBreak/>
        <w:t>triệu đồng, lãi 230.296 triệu đồng).</w:t>
      </w:r>
      <w:r w:rsidRPr="002C7783">
        <w:rPr>
          <w:rFonts w:ascii="Times New Roman" w:hAnsi="Times New Roman"/>
          <w:sz w:val="28"/>
          <w:szCs w:val="28"/>
          <w:lang w:val="nl-NL"/>
        </w:rPr>
        <w:tab/>
      </w:r>
    </w:p>
    <w:p w:rsidR="00E81653" w:rsidRPr="002C7783" w:rsidRDefault="00E81653" w:rsidP="00E81653">
      <w:pPr>
        <w:spacing w:after="12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Công tác xử lý nợ bị rủi ro do nguyên nhân khách quan được thực hiện ít nhất 02 lần/01 năm đã tạo điều kiện cho hộ nghèo và các đối tượng chính sách khác thụ hưởng đầy đủ, kịp thời các ưu đãi của Chính phủ về tín dụng chính sách. Qua đó phản ánh đúng thực trạng chất lượng tín dụng chính sách, thực hiện sự chủ động trong thực hiện nhiệm vụ, đồng thời nâng cao năng lực tài chính góp phần quan trọng vào sự phát triển bền vững của NHCSXH.</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pt-BR"/>
        </w:rPr>
        <w:t xml:space="preserve">- Nhằm tháo gỡ những khó khăn, vướng mắc tại cơ sở, Chi bộ đã </w:t>
      </w:r>
      <w:r w:rsidRPr="002C7783">
        <w:rPr>
          <w:rFonts w:ascii="Times New Roman" w:hAnsi="Times New Roman"/>
          <w:sz w:val="28"/>
          <w:szCs w:val="28"/>
          <w:lang w:val="nl-NL"/>
        </w:rPr>
        <w:t>chỉ đạo chuyên môn thực hiện chương trình công tác trợ giúp các chi nhánh trong công tác xử lý nợ rủi ro để bám sát cơ sở, giúp đỡ cơ sở tháo gỡ khó khăn trong quá trình thực hiện nghiệp vụ. Chương trình công tác này đã đóng góp tích cực trong việc nâng cao chất lượng tín dụng và được cơ sở đánh giá cao, đồng thời chất lượng của công tác xử lý rủi ro được nâng cao và sát với thực tế.</w:t>
      </w:r>
    </w:p>
    <w:p w:rsidR="00E81653" w:rsidRPr="0001368F" w:rsidRDefault="00E81653" w:rsidP="00E81653">
      <w:pPr>
        <w:spacing w:after="120" w:line="240" w:lineRule="auto"/>
        <w:ind w:firstLine="720"/>
        <w:rPr>
          <w:rFonts w:ascii="Times New Roman" w:hAnsi="Times New Roman"/>
          <w:sz w:val="28"/>
          <w:szCs w:val="28"/>
          <w:lang w:val="nl-NL"/>
        </w:rPr>
      </w:pPr>
      <w:r w:rsidRPr="0001368F">
        <w:rPr>
          <w:rFonts w:ascii="Times New Roman" w:hAnsi="Times New Roman"/>
          <w:sz w:val="28"/>
          <w:szCs w:val="28"/>
          <w:lang w:val="pt-BR"/>
        </w:rPr>
        <w:t xml:space="preserve">- Hàng năm, chỉ đạo chuyên môn tham mưu trình Tổng Giám đốc ban hành kế hoạch và thực hiện kiểm tra chuyên đề Quản lý và xử lý nợ rủi ro; </w:t>
      </w:r>
      <w:r w:rsidRPr="0001368F">
        <w:rPr>
          <w:rFonts w:ascii="Times New Roman" w:hAnsi="Times New Roman"/>
          <w:sz w:val="28"/>
          <w:szCs w:val="28"/>
          <w:lang w:val="nl-NL"/>
        </w:rPr>
        <w:t>thành lập các đoàn công tác thực hiện việc hướng dẫn, hỗ trợ, tập huấn và kiểm tra công tác xử lý nợ rủi ro tại các chi nhánh có chất lượng tín dụng thấp; thành lập đoàn công tác phối hợp với Ban kiểm soát NHCSXH kiểm tra đề nghị xử lý nợ rủi trước khi trình Chủ tịch HĐQT.</w:t>
      </w:r>
    </w:p>
    <w:p w:rsidR="00E81653" w:rsidRPr="002C7783" w:rsidRDefault="00E81653" w:rsidP="00E81653">
      <w:pPr>
        <w:spacing w:after="120" w:line="240" w:lineRule="auto"/>
        <w:ind w:firstLine="720"/>
        <w:rPr>
          <w:rFonts w:ascii="Times New Roman" w:eastAsia="Arial" w:hAnsi="Times New Roman"/>
          <w:bCs/>
          <w:sz w:val="28"/>
          <w:szCs w:val="28"/>
          <w:lang w:val="nl-NL"/>
        </w:rPr>
      </w:pPr>
      <w:r w:rsidRPr="002C7783">
        <w:rPr>
          <w:rFonts w:ascii="Times New Roman" w:hAnsi="Times New Roman"/>
          <w:sz w:val="28"/>
          <w:szCs w:val="28"/>
          <w:lang w:val="nl-NL"/>
        </w:rPr>
        <w:t>Đạt được những kết quả trên thể hiện sự chỉ đạo quyết liệt của Ban lãnh đạo quan tâm đồng sức đồng lòng của các tập thể, cá nhân trong toàn hệ thống dưới dự lãnh đạo của Đảng trong việc chỉ đạo công tác củng cố, nâng cao chất lượng tín dụng bền vững.</w:t>
      </w:r>
    </w:p>
    <w:p w:rsidR="00E81653" w:rsidRPr="002C7783" w:rsidRDefault="00E81653" w:rsidP="00E81653">
      <w:pPr>
        <w:spacing w:after="120" w:line="240" w:lineRule="auto"/>
        <w:ind w:firstLine="720"/>
        <w:rPr>
          <w:rFonts w:ascii="Times New Roman" w:hAnsi="Times New Roman"/>
          <w:b/>
          <w:bCs/>
          <w:i/>
          <w:sz w:val="28"/>
          <w:szCs w:val="28"/>
          <w:lang w:val="nl-NL"/>
        </w:rPr>
      </w:pPr>
      <w:r w:rsidRPr="002C7783">
        <w:rPr>
          <w:rFonts w:ascii="Times New Roman" w:hAnsi="Times New Roman"/>
          <w:b/>
          <w:i/>
          <w:sz w:val="28"/>
          <w:szCs w:val="28"/>
          <w:lang w:val="nl-NL"/>
        </w:rPr>
        <w:t>Để chất lượng tín dụng được nâng cao hơn nữa trong thời gian tới, Chi bộ Quản lý và xử lý nợ rủi ro xin đề xuất một số nội dung cần phải chỉ đạo công tác chuyên môn thực hiện tốt nhiệm vụ chính trị, cụ thể như sau:</w:t>
      </w:r>
    </w:p>
    <w:p w:rsidR="00E81653" w:rsidRPr="002C778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b/>
          <w:i/>
          <w:sz w:val="28"/>
          <w:szCs w:val="28"/>
          <w:lang w:val="nl-NL"/>
        </w:rPr>
        <w:t>Một là</w:t>
      </w:r>
      <w:r w:rsidRPr="002C7783">
        <w:rPr>
          <w:rFonts w:ascii="Times New Roman" w:hAnsi="Times New Roman"/>
          <w:sz w:val="28"/>
          <w:szCs w:val="28"/>
          <w:lang w:val="nl-NL"/>
        </w:rPr>
        <w:t>: Phối hợp với các Bộ, ngành trình Thủ tướng Chính phủ ban hành Quyết định sửa đổi, bổ sung cơ chế xử lý rủi ro kèm theo Quyết định số 50/2010/QĐ-TTgngày 28/7/2010 của Thủ tướng Chính phủ về việc cơ chế xử lý rủi ro tại NHCSXH cho phù hợp với thực tiễn hoạt động của NHCSXH</w:t>
      </w:r>
    </w:p>
    <w:p w:rsidR="00E81653" w:rsidRPr="002C7783" w:rsidRDefault="00E81653" w:rsidP="00E81653">
      <w:pPr>
        <w:spacing w:after="120" w:line="240" w:lineRule="auto"/>
        <w:ind w:firstLine="720"/>
        <w:rPr>
          <w:rFonts w:ascii="Times New Roman" w:hAnsi="Times New Roman"/>
          <w:spacing w:val="-6"/>
          <w:sz w:val="28"/>
          <w:szCs w:val="28"/>
          <w:lang w:val="nl-NL"/>
        </w:rPr>
      </w:pPr>
      <w:r w:rsidRPr="002C7783">
        <w:rPr>
          <w:rFonts w:ascii="Times New Roman" w:hAnsi="Times New Roman"/>
          <w:b/>
          <w:i/>
          <w:sz w:val="28"/>
          <w:szCs w:val="28"/>
          <w:lang w:val="nl-NL"/>
        </w:rPr>
        <w:t>Hai là</w:t>
      </w:r>
      <w:r w:rsidRPr="002C7783">
        <w:rPr>
          <w:rFonts w:ascii="Times New Roman" w:hAnsi="Times New Roman"/>
          <w:sz w:val="28"/>
          <w:szCs w:val="28"/>
          <w:lang w:val="nl-NL"/>
        </w:rPr>
        <w:t xml:space="preserve">: </w:t>
      </w:r>
      <w:r w:rsidRPr="002C7783">
        <w:rPr>
          <w:rFonts w:ascii="Times New Roman" w:hAnsi="Times New Roman"/>
          <w:spacing w:val="-6"/>
          <w:sz w:val="28"/>
          <w:szCs w:val="28"/>
          <w:lang w:val="nl-NL"/>
        </w:rPr>
        <w:t>Phối hợp với Trung tâm Công nghệ thông tin và các đơn vị liên quan xây dựng các chỉ tiêu dự báo, nhận biết, cảnh báo sớm và xây dựng phương pháp phân tích, tổng hợp, so sánh và đánh giá đối với các khoản nợ</w:t>
      </w:r>
      <w:r>
        <w:rPr>
          <w:rFonts w:ascii="Times New Roman" w:hAnsi="Times New Roman"/>
          <w:spacing w:val="-6"/>
          <w:sz w:val="28"/>
          <w:szCs w:val="28"/>
          <w:lang w:val="nl-NL"/>
        </w:rPr>
        <w:t xml:space="preserve"> </w:t>
      </w:r>
      <w:r w:rsidRPr="002C7783">
        <w:rPr>
          <w:rFonts w:ascii="Times New Roman" w:hAnsi="Times New Roman"/>
          <w:spacing w:val="-6"/>
          <w:sz w:val="28"/>
          <w:szCs w:val="28"/>
          <w:lang w:val="nl-NL"/>
        </w:rPr>
        <w:t xml:space="preserve">xấu thông qua kết quả phân loại nợ theo Quyết định số 976/QĐ-TTg </w:t>
      </w:r>
      <w:r w:rsidRPr="002C7783">
        <w:rPr>
          <w:rFonts w:ascii="Times New Roman" w:hAnsi="Times New Roman"/>
          <w:sz w:val="28"/>
          <w:szCs w:val="28"/>
          <w:lang w:val="pt-BR"/>
        </w:rPr>
        <w:t>có phương án ngăn ngừa và hạn chế tối đa rủi ro xảy ra trong hoạt động tín dụng.</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b/>
          <w:i/>
          <w:sz w:val="28"/>
          <w:szCs w:val="28"/>
          <w:lang w:val="pt-BR"/>
        </w:rPr>
        <w:t>Bà là</w:t>
      </w:r>
      <w:r w:rsidRPr="002C7783">
        <w:rPr>
          <w:rFonts w:ascii="Times New Roman" w:hAnsi="Times New Roman"/>
          <w:sz w:val="28"/>
          <w:szCs w:val="28"/>
          <w:lang w:val="pt-BR"/>
        </w:rPr>
        <w:t xml:space="preserve">: Theo dõi, phân tích, đánh giá chất lượng tín dụng của toàn hệ thống từ đó đưa ra cảnh báo và giải pháp nghiệp vụ để nâng cao hơn nữa chất lượng hoạt </w:t>
      </w:r>
      <w:r w:rsidRPr="002C7783">
        <w:rPr>
          <w:rFonts w:ascii="Times New Roman" w:hAnsi="Times New Roman"/>
          <w:sz w:val="28"/>
          <w:szCs w:val="28"/>
          <w:lang w:val="pt-BR"/>
        </w:rPr>
        <w:lastRenderedPageBreak/>
        <w:t>động tín dụng của NHCSXH.</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b/>
          <w:i/>
          <w:sz w:val="28"/>
          <w:szCs w:val="28"/>
          <w:lang w:val="pt-BR"/>
        </w:rPr>
        <w:t>Bốn là</w:t>
      </w:r>
      <w:r w:rsidRPr="002C7783">
        <w:rPr>
          <w:rFonts w:ascii="Times New Roman" w:hAnsi="Times New Roman"/>
          <w:sz w:val="28"/>
          <w:szCs w:val="28"/>
          <w:lang w:val="pt-BR"/>
        </w:rPr>
        <w:t>: Thường xuyên theo dõi diễn biến các đợt bão, lũ, rét đậm, rét hại...trong từng thời kỳ, kịp thời ban hành công điện chỉ đạo các chi nhánh trong hệ thống phối hợp với các cấp, các ngành tổ chức thống kê những thiệt hại do nguyên nhân khách quan gây ra, giúp hộ nghèo và các đối tượng chính sách khác kịp thời khắc phục hậu quả, ổn định cuộc sống.</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b/>
          <w:i/>
          <w:sz w:val="28"/>
          <w:szCs w:val="28"/>
          <w:lang w:val="pt-BR"/>
        </w:rPr>
        <w:t>Năm là</w:t>
      </w:r>
      <w:r w:rsidRPr="002C7783">
        <w:rPr>
          <w:rFonts w:ascii="Times New Roman" w:hAnsi="Times New Roman"/>
          <w:sz w:val="28"/>
          <w:szCs w:val="28"/>
          <w:lang w:val="pt-BR"/>
        </w:rPr>
        <w:t>: Coi trọng công tác thông tin tuyên truyền để mọi người dân biết, hiểu về các chủ chương chính sách của Đảng, Nhà nước, đặc biệt là các đối tượng thụ hưởng tín dụng chính sách xã hội đại đa số là người yếu thế, trình độ nhận thức, năng lực kinh doanh còn hạn chế.</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b/>
          <w:i/>
          <w:sz w:val="28"/>
          <w:szCs w:val="28"/>
          <w:lang w:val="pt-BR"/>
        </w:rPr>
        <w:t>Sáu là</w:t>
      </w:r>
      <w:r w:rsidRPr="002C7783">
        <w:rPr>
          <w:rFonts w:ascii="Times New Roman" w:hAnsi="Times New Roman"/>
          <w:sz w:val="28"/>
          <w:szCs w:val="28"/>
          <w:lang w:val="pt-BR"/>
        </w:rPr>
        <w:t>: Tích cực phối hợp với chính quyền địa phương và các tổ chức cá nhân triển khai và thực hiện tốt công tác xử lý rủi ro do nguyên nhân khách quan mỗi năm ít nhất 02 lần, giúp đối tượng vay vốn tháo gỡ khó khăn và được thụ hưởng đầy đủ chính sách ưu đãi của Nhà nước.</w:t>
      </w:r>
    </w:p>
    <w:p w:rsidR="00E81653" w:rsidRPr="002C7783" w:rsidRDefault="00E81653" w:rsidP="00E81653">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nl-NL"/>
        </w:rPr>
        <w:t xml:space="preserve">Trên đây là nội dung tham luận của Chi bộ Quản lý và xử lý nợ rủi ro về </w:t>
      </w:r>
      <w:r w:rsidRPr="002C7783">
        <w:rPr>
          <w:rFonts w:ascii="Times New Roman" w:hAnsi="Times New Roman"/>
          <w:b/>
          <w:sz w:val="28"/>
          <w:szCs w:val="28"/>
          <w:lang w:val="nl-NL"/>
        </w:rPr>
        <w:t>“Vai trò lãnh đạo của Đảng trong việc chỉ đạo công tác củng cố, nâng cao chất lượng tín dụng bền vững</w:t>
      </w:r>
      <w:r w:rsidRPr="002C7783">
        <w:rPr>
          <w:rFonts w:ascii="Times New Roman" w:hAnsi="Times New Roman"/>
          <w:sz w:val="28"/>
          <w:szCs w:val="28"/>
          <w:lang w:val="nl-NL"/>
        </w:rPr>
        <w:t>”</w:t>
      </w:r>
    </w:p>
    <w:p w:rsidR="00E8165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Xin kính chúc sức khỏe, hạnh phúc và thành đạt tới quy vị khách quý, quý vị đại biểu dự </w:t>
      </w:r>
      <w:r>
        <w:rPr>
          <w:rFonts w:ascii="Times New Roman" w:hAnsi="Times New Roman"/>
          <w:sz w:val="28"/>
          <w:szCs w:val="28"/>
          <w:lang w:val="nl-NL"/>
        </w:rPr>
        <w:t xml:space="preserve">Đại hội </w:t>
      </w:r>
      <w:r w:rsidRPr="002C7783">
        <w:rPr>
          <w:rFonts w:ascii="Times New Roman" w:hAnsi="Times New Roman"/>
          <w:sz w:val="28"/>
          <w:szCs w:val="28"/>
          <w:lang w:val="nl-NL"/>
        </w:rPr>
        <w:t>.</w:t>
      </w:r>
    </w:p>
    <w:p w:rsidR="00E81653" w:rsidRDefault="00E81653" w:rsidP="00E81653">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Xin trân trọng cảm ơn!</w:t>
      </w:r>
      <w:r>
        <w:rPr>
          <w:rFonts w:ascii="Times New Roman" w:hAnsi="Times New Roman"/>
          <w:sz w:val="28"/>
          <w:szCs w:val="28"/>
          <w:lang w:val="nl-NL"/>
        </w:rPr>
        <w:br w:type="page"/>
      </w:r>
    </w:p>
    <w:p w:rsidR="00B01703" w:rsidRDefault="00E81653"/>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81653"/>
    <w:rsid w:val="002D64C9"/>
    <w:rsid w:val="00735718"/>
    <w:rsid w:val="00B9682F"/>
    <w:rsid w:val="00E8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3"/>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1653"/>
    <w:pPr>
      <w:widowControl/>
      <w:spacing w:before="240" w:after="60" w:line="240" w:lineRule="auto"/>
      <w:ind w:firstLine="0"/>
      <w:jc w:val="center"/>
      <w:outlineLvl w:val="0"/>
    </w:pPr>
    <w:rPr>
      <w:rFonts w:ascii="Arial" w:eastAsia="MS Mincho" w:hAnsi="Arial" w:cs="Arial"/>
      <w:b/>
      <w:kern w:val="28"/>
      <w:sz w:val="32"/>
      <w:szCs w:val="32"/>
      <w:lang w:val="vi-VN" w:eastAsia="ja-JP"/>
    </w:rPr>
  </w:style>
  <w:style w:type="character" w:customStyle="1" w:styleId="TitleChar">
    <w:name w:val="Title Char"/>
    <w:basedOn w:val="DefaultParagraphFont"/>
    <w:link w:val="Title"/>
    <w:rsid w:val="00E81653"/>
    <w:rPr>
      <w:rFonts w:ascii="Arial" w:eastAsia="MS Mincho" w:hAnsi="Arial" w:cs="Arial"/>
      <w:b/>
      <w:kern w:val="28"/>
      <w:sz w:val="32"/>
      <w:szCs w:val="32"/>
      <w:lang w:val="vi-VN"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2020-08-14T05:44:00Z</dcterms:created>
  <dcterms:modified xsi:type="dcterms:W3CDTF">2020-08-14T05:44:00Z</dcterms:modified>
</cp:coreProperties>
</file>